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99EB" w14:textId="77777777" w:rsidR="00F34108" w:rsidRDefault="004006F7" w:rsidP="004006F7">
      <w:pPr>
        <w:jc w:val="center"/>
        <w:rPr>
          <w:i/>
        </w:rPr>
      </w:pPr>
      <w:r>
        <w:t xml:space="preserve">Final TPEQEA:  Sample for </w:t>
      </w:r>
      <w:r>
        <w:rPr>
          <w:i/>
        </w:rPr>
        <w:t>The Tragedy of Macbeth</w:t>
      </w:r>
    </w:p>
    <w:p w14:paraId="0AFDA97E" w14:textId="77777777" w:rsidR="00ED2A3C" w:rsidRDefault="00ED2A3C" w:rsidP="004006F7">
      <w:pPr>
        <w:jc w:val="center"/>
        <w:rPr>
          <w:i/>
        </w:rPr>
      </w:pPr>
    </w:p>
    <w:p w14:paraId="2909DE0A" w14:textId="4F1CEA95" w:rsidR="00ED2A3C" w:rsidRDefault="00ED2A3C" w:rsidP="00ED2A3C">
      <w:r w:rsidRPr="00ED2A3C">
        <w:rPr>
          <w:b/>
        </w:rPr>
        <w:t xml:space="preserve">TPEQEA </w:t>
      </w:r>
      <w:r w:rsidRPr="00ED2A3C">
        <w:t xml:space="preserve">is a writing strategy that will help you to write clear and concise paragraphs.  By using TPEQEA when you write you will be better prepared to answer </w:t>
      </w:r>
      <w:r>
        <w:t>essay questions and write clear, well-supported papers.  This should follow MLA format.</w:t>
      </w:r>
    </w:p>
    <w:p w14:paraId="23603E95" w14:textId="77777777" w:rsidR="00ED2A3C" w:rsidRDefault="00ED2A3C" w:rsidP="00ED2A3C"/>
    <w:p w14:paraId="3E4D958C" w14:textId="591102FB" w:rsidR="00ED2A3C" w:rsidRPr="00ED2A3C" w:rsidRDefault="00ED2A3C" w:rsidP="00ED2A3C">
      <w:r>
        <w:t>1.  Gather your thoughts around a topic that is repeated in the play.  Use what you remember, what you notice, and look back at the text.  Please do not use the example below.</w:t>
      </w:r>
    </w:p>
    <w:p w14:paraId="3D518D42" w14:textId="77777777" w:rsidR="004006F7" w:rsidRDefault="004006F7" w:rsidP="004006F7">
      <w:pPr>
        <w:jc w:val="center"/>
        <w:rPr>
          <w:i/>
        </w:rPr>
      </w:pPr>
    </w:p>
    <w:p w14:paraId="7CA5025A" w14:textId="77777777" w:rsidR="004006F7" w:rsidRPr="00D738A7" w:rsidRDefault="004006F7" w:rsidP="004006F7">
      <w:pPr>
        <w:rPr>
          <w:b/>
        </w:rPr>
      </w:pPr>
      <w:r>
        <w:tab/>
      </w:r>
      <w:r w:rsidRPr="00D738A7">
        <w:rPr>
          <w:b/>
        </w:rPr>
        <w:t>Fathers and Sons relationship</w:t>
      </w:r>
    </w:p>
    <w:p w14:paraId="61582DAE" w14:textId="77777777" w:rsidR="004006F7" w:rsidRDefault="004006F7" w:rsidP="004006F7">
      <w:r>
        <w:t>Witches</w:t>
      </w:r>
    </w:p>
    <w:p w14:paraId="0EDD5723" w14:textId="77777777" w:rsidR="004006F7" w:rsidRDefault="004006F7" w:rsidP="004006F7">
      <w:pPr>
        <w:pStyle w:val="ListParagraph"/>
        <w:numPr>
          <w:ilvl w:val="0"/>
          <w:numId w:val="1"/>
        </w:numPr>
      </w:pPr>
      <w:r>
        <w:t xml:space="preserve">Prophecy, inheritance, seeming good news for Macbeth has teeth with this after thought.  </w:t>
      </w:r>
    </w:p>
    <w:p w14:paraId="5C6494E8" w14:textId="77777777" w:rsidR="004006F7" w:rsidRDefault="004006F7" w:rsidP="004006F7">
      <w:pPr>
        <w:pStyle w:val="ListParagraph"/>
        <w:numPr>
          <w:ilvl w:val="0"/>
          <w:numId w:val="1"/>
        </w:numPr>
      </w:pPr>
      <w:r>
        <w:t>“Thou get kings, though thou be none.”</w:t>
      </w:r>
    </w:p>
    <w:p w14:paraId="19B17528" w14:textId="77777777" w:rsidR="004006F7" w:rsidRDefault="004006F7" w:rsidP="004006F7"/>
    <w:p w14:paraId="47E83016" w14:textId="77777777" w:rsidR="004006F7" w:rsidRDefault="004006F7" w:rsidP="004006F7">
      <w:r>
        <w:t>Duncan and his sons</w:t>
      </w:r>
    </w:p>
    <w:p w14:paraId="31898A71" w14:textId="77777777" w:rsidR="004006F7" w:rsidRDefault="004006F7" w:rsidP="004006F7">
      <w:pPr>
        <w:pStyle w:val="ListParagraph"/>
        <w:numPr>
          <w:ilvl w:val="0"/>
          <w:numId w:val="2"/>
        </w:numPr>
      </w:pPr>
      <w:r>
        <w:t>Heredity, lineage, danger, suspects</w:t>
      </w:r>
      <w:r w:rsidR="00C848D8">
        <w:t>, heavenly imagery</w:t>
      </w:r>
    </w:p>
    <w:p w14:paraId="0490F1B6" w14:textId="77777777" w:rsidR="004006F7" w:rsidRDefault="004006F7" w:rsidP="004006F7">
      <w:pPr>
        <w:pStyle w:val="ListParagraph"/>
        <w:numPr>
          <w:ilvl w:val="0"/>
          <w:numId w:val="2"/>
        </w:numPr>
      </w:pPr>
      <w:r>
        <w:t>“The nearer in blood, the nearer bloody.”</w:t>
      </w:r>
    </w:p>
    <w:p w14:paraId="479592BB" w14:textId="77777777" w:rsidR="004006F7" w:rsidRDefault="004006F7" w:rsidP="004006F7"/>
    <w:p w14:paraId="502AF1F0" w14:textId="77777777" w:rsidR="004006F7" w:rsidRDefault="004006F7" w:rsidP="004006F7">
      <w:proofErr w:type="spellStart"/>
      <w:r>
        <w:t>Banquo</w:t>
      </w:r>
      <w:proofErr w:type="spellEnd"/>
      <w:r>
        <w:t xml:space="preserve"> and </w:t>
      </w:r>
      <w:proofErr w:type="spellStart"/>
      <w:r>
        <w:t>Fleance</w:t>
      </w:r>
      <w:proofErr w:type="spellEnd"/>
    </w:p>
    <w:p w14:paraId="1A907482" w14:textId="77777777" w:rsidR="004006F7" w:rsidRDefault="004006F7" w:rsidP="004006F7">
      <w:pPr>
        <w:pStyle w:val="ListParagraph"/>
        <w:numPr>
          <w:ilvl w:val="0"/>
          <w:numId w:val="4"/>
        </w:numPr>
      </w:pPr>
      <w:proofErr w:type="gramStart"/>
      <w:r>
        <w:t>protective</w:t>
      </w:r>
      <w:proofErr w:type="gramEnd"/>
      <w:r>
        <w:t>, ancestor of the king watching the play, King James</w:t>
      </w:r>
    </w:p>
    <w:p w14:paraId="32D25D6B" w14:textId="77777777" w:rsidR="004006F7" w:rsidRDefault="004006F7" w:rsidP="004006F7">
      <w:pPr>
        <w:pStyle w:val="ListParagraph"/>
        <w:numPr>
          <w:ilvl w:val="0"/>
          <w:numId w:val="3"/>
        </w:numPr>
      </w:pPr>
      <w:r>
        <w:t xml:space="preserve">“Fly, </w:t>
      </w:r>
      <w:proofErr w:type="spellStart"/>
      <w:r>
        <w:t>Fleance</w:t>
      </w:r>
      <w:proofErr w:type="spellEnd"/>
      <w:r>
        <w:t>, fly!”</w:t>
      </w:r>
    </w:p>
    <w:p w14:paraId="4B56A292" w14:textId="77777777" w:rsidR="004006F7" w:rsidRDefault="004006F7" w:rsidP="004006F7"/>
    <w:p w14:paraId="55A78691" w14:textId="77777777" w:rsidR="004006F7" w:rsidRDefault="004006F7" w:rsidP="004006F7">
      <w:r>
        <w:t>Macbeth</w:t>
      </w:r>
    </w:p>
    <w:p w14:paraId="16E2461D" w14:textId="77777777" w:rsidR="004006F7" w:rsidRDefault="004006F7" w:rsidP="004006F7">
      <w:pPr>
        <w:pStyle w:val="ListParagraph"/>
        <w:numPr>
          <w:ilvl w:val="0"/>
          <w:numId w:val="3"/>
        </w:numPr>
      </w:pPr>
      <w:r>
        <w:t xml:space="preserve">Not a father, fear of future, no </w:t>
      </w:r>
    </w:p>
    <w:p w14:paraId="01A88D6C" w14:textId="77777777" w:rsidR="004006F7" w:rsidRDefault="004006F7" w:rsidP="004006F7">
      <w:pPr>
        <w:pStyle w:val="ListParagraph"/>
        <w:numPr>
          <w:ilvl w:val="0"/>
          <w:numId w:val="3"/>
        </w:numPr>
      </w:pPr>
      <w:r>
        <w:t>“</w:t>
      </w:r>
      <w:proofErr w:type="spellStart"/>
      <w:proofErr w:type="gramStart"/>
      <w:r>
        <w:t>unlineal</w:t>
      </w:r>
      <w:proofErr w:type="spellEnd"/>
      <w:proofErr w:type="gramEnd"/>
      <w:r>
        <w:t xml:space="preserve"> hand”  “barren scepter in my gripe”</w:t>
      </w:r>
    </w:p>
    <w:p w14:paraId="3A461544" w14:textId="77777777" w:rsidR="004006F7" w:rsidRDefault="004006F7" w:rsidP="004006F7">
      <w:pPr>
        <w:pStyle w:val="ListParagraph"/>
        <w:numPr>
          <w:ilvl w:val="0"/>
          <w:numId w:val="3"/>
        </w:numPr>
      </w:pPr>
      <w:r>
        <w:t xml:space="preserve">Why did I give up my “eternal jewel”, my soul, to make “the seeds of </w:t>
      </w:r>
      <w:proofErr w:type="spellStart"/>
      <w:r>
        <w:t>Banquo</w:t>
      </w:r>
      <w:proofErr w:type="spellEnd"/>
      <w:r>
        <w:t xml:space="preserve"> kings?”</w:t>
      </w:r>
    </w:p>
    <w:p w14:paraId="2DAAB1EA" w14:textId="77777777" w:rsidR="004006F7" w:rsidRDefault="004006F7" w:rsidP="004006F7">
      <w:pPr>
        <w:pStyle w:val="ListParagraph"/>
        <w:numPr>
          <w:ilvl w:val="0"/>
          <w:numId w:val="3"/>
        </w:numPr>
      </w:pPr>
      <w:r>
        <w:t>The land becomes barren when Macbeth is king too.</w:t>
      </w:r>
    </w:p>
    <w:p w14:paraId="087825A5" w14:textId="77777777" w:rsidR="004006F7" w:rsidRDefault="004006F7" w:rsidP="004006F7"/>
    <w:p w14:paraId="0448D0EF" w14:textId="77777777" w:rsidR="004006F7" w:rsidRDefault="004006F7" w:rsidP="004006F7">
      <w:proofErr w:type="spellStart"/>
      <w:r>
        <w:t>Macduff</w:t>
      </w:r>
      <w:proofErr w:type="spellEnd"/>
      <w:r>
        <w:t xml:space="preserve"> and his son,</w:t>
      </w:r>
    </w:p>
    <w:p w14:paraId="788417D2" w14:textId="77777777" w:rsidR="00C848D8" w:rsidRDefault="00C848D8" w:rsidP="00C848D8">
      <w:pPr>
        <w:pStyle w:val="ListParagraph"/>
        <w:numPr>
          <w:ilvl w:val="0"/>
          <w:numId w:val="6"/>
        </w:numPr>
      </w:pPr>
      <w:r>
        <w:t>Tender, blindsided, loyal</w:t>
      </w:r>
    </w:p>
    <w:p w14:paraId="7E92B990" w14:textId="77777777" w:rsidR="004006F7" w:rsidRDefault="004006F7" w:rsidP="00C848D8">
      <w:pPr>
        <w:pStyle w:val="ListParagraph"/>
        <w:numPr>
          <w:ilvl w:val="0"/>
          <w:numId w:val="5"/>
        </w:numPr>
      </w:pPr>
      <w:r>
        <w:t>“Is my father a traitor?”</w:t>
      </w:r>
    </w:p>
    <w:p w14:paraId="5DE5C744" w14:textId="77777777" w:rsidR="004006F7" w:rsidRDefault="004006F7" w:rsidP="00C848D8">
      <w:pPr>
        <w:pStyle w:val="ListParagraph"/>
        <w:numPr>
          <w:ilvl w:val="0"/>
          <w:numId w:val="5"/>
        </w:numPr>
      </w:pPr>
      <w:r>
        <w:t>“I’ll dispute it like a man.”</w:t>
      </w:r>
    </w:p>
    <w:p w14:paraId="531A6294" w14:textId="77777777" w:rsidR="004006F7" w:rsidRDefault="004006F7" w:rsidP="00C848D8">
      <w:pPr>
        <w:pStyle w:val="ListParagraph"/>
        <w:numPr>
          <w:ilvl w:val="0"/>
          <w:numId w:val="5"/>
        </w:numPr>
      </w:pPr>
      <w:r>
        <w:t>“All my pretty ones and their dam?”</w:t>
      </w:r>
    </w:p>
    <w:p w14:paraId="3644B0AB" w14:textId="77777777" w:rsidR="004006F7" w:rsidRDefault="004006F7" w:rsidP="004006F7"/>
    <w:p w14:paraId="043A4EFD" w14:textId="77777777" w:rsidR="004006F7" w:rsidRDefault="00C848D8" w:rsidP="004006F7">
      <w:proofErr w:type="spellStart"/>
      <w:r>
        <w:t>Malcom</w:t>
      </w:r>
      <w:proofErr w:type="spellEnd"/>
    </w:p>
    <w:p w14:paraId="4BF50299" w14:textId="77777777" w:rsidR="00C848D8" w:rsidRDefault="00C848D8" w:rsidP="00C848D8">
      <w:pPr>
        <w:pStyle w:val="ListParagraph"/>
        <w:numPr>
          <w:ilvl w:val="0"/>
          <w:numId w:val="7"/>
        </w:numPr>
      </w:pPr>
      <w:proofErr w:type="gramStart"/>
      <w:r>
        <w:t>rightful</w:t>
      </w:r>
      <w:proofErr w:type="gramEnd"/>
      <w:r>
        <w:t xml:space="preserve"> king restored, promise for future prosperity</w:t>
      </w:r>
    </w:p>
    <w:p w14:paraId="11717463" w14:textId="77777777" w:rsidR="00C848D8" w:rsidRDefault="00C848D8" w:rsidP="00C848D8">
      <w:pPr>
        <w:pStyle w:val="ListParagraph"/>
        <w:numPr>
          <w:ilvl w:val="0"/>
          <w:numId w:val="7"/>
        </w:numPr>
      </w:pPr>
      <w:proofErr w:type="gramStart"/>
      <w:r>
        <w:t>heavenly</w:t>
      </w:r>
      <w:proofErr w:type="gramEnd"/>
      <w:r>
        <w:t xml:space="preserve"> imagery</w:t>
      </w:r>
    </w:p>
    <w:p w14:paraId="147ABF7F" w14:textId="77777777" w:rsidR="00F660F0" w:rsidRDefault="00F660F0" w:rsidP="00F660F0"/>
    <w:p w14:paraId="7CAC4D1E" w14:textId="13D795A9" w:rsidR="00ED2A3C" w:rsidRDefault="00ED2A3C" w:rsidP="00F660F0">
      <w:r>
        <w:t>2.  Look at what you have gathered and see if you see any patterns.  Most likely, you will not use everything that you gather.</w:t>
      </w:r>
    </w:p>
    <w:p w14:paraId="7917745A" w14:textId="77777777" w:rsidR="00ED2A3C" w:rsidRDefault="00ED2A3C" w:rsidP="00F660F0"/>
    <w:p w14:paraId="50953CB3" w14:textId="14387B92" w:rsidR="00ED2A3C" w:rsidRDefault="00ED2A3C" w:rsidP="00F660F0">
      <w:r>
        <w:lastRenderedPageBreak/>
        <w:t>3.  Decide on an angle, and let the TPEQEA strategy below help you refine your perspective and support your claim.</w:t>
      </w:r>
    </w:p>
    <w:p w14:paraId="084683BC" w14:textId="77777777" w:rsidR="00ED2A3C" w:rsidRDefault="00ED2A3C" w:rsidP="00F660F0"/>
    <w:p w14:paraId="76A0AC00" w14:textId="77777777" w:rsidR="00ED2A3C" w:rsidRPr="006409BB" w:rsidRDefault="00ED2A3C" w:rsidP="00ED2A3C">
      <w:pPr>
        <w:jc w:val="center"/>
        <w:rPr>
          <w:rFonts w:ascii="Garamond" w:hAnsi="Garamond"/>
          <w:b/>
          <w:sz w:val="32"/>
          <w:szCs w:val="32"/>
        </w:rPr>
      </w:pPr>
      <w:r w:rsidRPr="006409BB">
        <w:rPr>
          <w:rFonts w:ascii="Garamond" w:hAnsi="Garamond"/>
          <w:b/>
          <w:sz w:val="32"/>
          <w:szCs w:val="32"/>
        </w:rPr>
        <w:t>TPEQEA</w:t>
      </w:r>
    </w:p>
    <w:p w14:paraId="31CD1DC1" w14:textId="77777777" w:rsidR="00ED2A3C" w:rsidRPr="006409BB" w:rsidRDefault="00ED2A3C" w:rsidP="00ED2A3C">
      <w:pPr>
        <w:rPr>
          <w:rFonts w:ascii="Garamond" w:hAnsi="Garamond"/>
          <w:sz w:val="32"/>
          <w:szCs w:val="32"/>
        </w:rPr>
      </w:pPr>
    </w:p>
    <w:p w14:paraId="24FB54A6" w14:textId="77777777" w:rsidR="00ED2A3C" w:rsidRPr="00ED2A3C" w:rsidRDefault="00ED2A3C" w:rsidP="00ED2A3C">
      <w:pPr>
        <w:jc w:val="center"/>
        <w:rPr>
          <w:rFonts w:ascii="Garamond" w:hAnsi="Garamond"/>
          <w:b/>
        </w:rPr>
      </w:pPr>
      <w:r w:rsidRPr="00ED2A3C">
        <w:rPr>
          <w:rFonts w:ascii="Garamond" w:hAnsi="Garamond"/>
          <w:b/>
        </w:rPr>
        <w:t>Writing Format</w:t>
      </w:r>
    </w:p>
    <w:p w14:paraId="58EB2E7C" w14:textId="77777777" w:rsidR="00ED2A3C" w:rsidRPr="00ED2A3C" w:rsidRDefault="00ED2A3C" w:rsidP="00ED2A3C">
      <w:pPr>
        <w:jc w:val="center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D2A3C" w:rsidRPr="00ED2A3C" w14:paraId="443319C9" w14:textId="77777777" w:rsidTr="00ED2A3C">
        <w:tc>
          <w:tcPr>
            <w:tcW w:w="2952" w:type="dxa"/>
          </w:tcPr>
          <w:p w14:paraId="51631E24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Name</w:t>
            </w:r>
          </w:p>
        </w:tc>
        <w:tc>
          <w:tcPr>
            <w:tcW w:w="2952" w:type="dxa"/>
          </w:tcPr>
          <w:p w14:paraId="628835C6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 xml:space="preserve"># </w:t>
            </w:r>
            <w:proofErr w:type="gramStart"/>
            <w:r w:rsidRPr="00ED2A3C">
              <w:rPr>
                <w:rFonts w:ascii="Garamond" w:hAnsi="Garamond"/>
                <w:b/>
              </w:rPr>
              <w:t>of</w:t>
            </w:r>
            <w:proofErr w:type="gramEnd"/>
            <w:r w:rsidRPr="00ED2A3C">
              <w:rPr>
                <w:rFonts w:ascii="Garamond" w:hAnsi="Garamond"/>
                <w:b/>
              </w:rPr>
              <w:t xml:space="preserve"> Sentences</w:t>
            </w:r>
          </w:p>
        </w:tc>
        <w:tc>
          <w:tcPr>
            <w:tcW w:w="2952" w:type="dxa"/>
          </w:tcPr>
          <w:p w14:paraId="1E83DFF2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Function</w:t>
            </w:r>
          </w:p>
        </w:tc>
      </w:tr>
      <w:tr w:rsidR="00ED2A3C" w:rsidRPr="006409BB" w14:paraId="087175F4" w14:textId="77777777" w:rsidTr="00ED2A3C">
        <w:tc>
          <w:tcPr>
            <w:tcW w:w="2952" w:type="dxa"/>
          </w:tcPr>
          <w:p w14:paraId="777109CF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Topic Sentence</w:t>
            </w:r>
          </w:p>
        </w:tc>
        <w:tc>
          <w:tcPr>
            <w:tcW w:w="2952" w:type="dxa"/>
          </w:tcPr>
          <w:p w14:paraId="46924994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1</w:t>
            </w:r>
          </w:p>
        </w:tc>
        <w:tc>
          <w:tcPr>
            <w:tcW w:w="2952" w:type="dxa"/>
          </w:tcPr>
          <w:p w14:paraId="751D8482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General, broad introductory sentence</w:t>
            </w:r>
          </w:p>
        </w:tc>
      </w:tr>
      <w:tr w:rsidR="00ED2A3C" w:rsidRPr="006409BB" w14:paraId="64C75B15" w14:textId="77777777" w:rsidTr="00ED2A3C">
        <w:tc>
          <w:tcPr>
            <w:tcW w:w="2952" w:type="dxa"/>
          </w:tcPr>
          <w:p w14:paraId="03C6B589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Point</w:t>
            </w:r>
          </w:p>
        </w:tc>
        <w:tc>
          <w:tcPr>
            <w:tcW w:w="2952" w:type="dxa"/>
          </w:tcPr>
          <w:p w14:paraId="792EFC78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1</w:t>
            </w:r>
          </w:p>
        </w:tc>
        <w:tc>
          <w:tcPr>
            <w:tcW w:w="2952" w:type="dxa"/>
          </w:tcPr>
          <w:p w14:paraId="1A986E2C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Specific, focused sentence</w:t>
            </w:r>
          </w:p>
        </w:tc>
      </w:tr>
      <w:tr w:rsidR="00ED2A3C" w:rsidRPr="006409BB" w14:paraId="66F6F23A" w14:textId="77777777" w:rsidTr="00ED2A3C">
        <w:tc>
          <w:tcPr>
            <w:tcW w:w="2952" w:type="dxa"/>
          </w:tcPr>
          <w:p w14:paraId="4EFE314F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Example</w:t>
            </w:r>
          </w:p>
        </w:tc>
        <w:tc>
          <w:tcPr>
            <w:tcW w:w="2952" w:type="dxa"/>
          </w:tcPr>
          <w:p w14:paraId="08B68722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1-3</w:t>
            </w:r>
          </w:p>
        </w:tc>
        <w:tc>
          <w:tcPr>
            <w:tcW w:w="2952" w:type="dxa"/>
          </w:tcPr>
          <w:p w14:paraId="5D6AD840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An example that illustrates the point</w:t>
            </w:r>
          </w:p>
        </w:tc>
      </w:tr>
      <w:tr w:rsidR="00ED2A3C" w:rsidRPr="00ED2A3C" w14:paraId="06B77E7F" w14:textId="77777777" w:rsidTr="00ED2A3C">
        <w:tc>
          <w:tcPr>
            <w:tcW w:w="2952" w:type="dxa"/>
          </w:tcPr>
          <w:p w14:paraId="2AB79940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Quote(s)</w:t>
            </w:r>
          </w:p>
        </w:tc>
        <w:tc>
          <w:tcPr>
            <w:tcW w:w="2952" w:type="dxa"/>
          </w:tcPr>
          <w:p w14:paraId="607F0197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1-3</w:t>
            </w:r>
          </w:p>
        </w:tc>
        <w:tc>
          <w:tcPr>
            <w:tcW w:w="2952" w:type="dxa"/>
          </w:tcPr>
          <w:p w14:paraId="036CF9CA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Direct quote(s) from the text which support(s) your point</w:t>
            </w:r>
          </w:p>
        </w:tc>
      </w:tr>
      <w:tr w:rsidR="00ED2A3C" w:rsidRPr="00ED2A3C" w14:paraId="7243475F" w14:textId="77777777" w:rsidTr="00ED2A3C">
        <w:tc>
          <w:tcPr>
            <w:tcW w:w="2952" w:type="dxa"/>
          </w:tcPr>
          <w:p w14:paraId="487C85E2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Elaboration</w:t>
            </w:r>
          </w:p>
        </w:tc>
        <w:tc>
          <w:tcPr>
            <w:tcW w:w="2952" w:type="dxa"/>
          </w:tcPr>
          <w:p w14:paraId="6C290E55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3-5</w:t>
            </w:r>
          </w:p>
        </w:tc>
        <w:tc>
          <w:tcPr>
            <w:tcW w:w="2952" w:type="dxa"/>
          </w:tcPr>
          <w:p w14:paraId="7E17CDE8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Explain the point/quote/example</w:t>
            </w:r>
          </w:p>
        </w:tc>
      </w:tr>
      <w:tr w:rsidR="00ED2A3C" w:rsidRPr="00ED2A3C" w14:paraId="60F82BBB" w14:textId="77777777" w:rsidTr="00ED2A3C">
        <w:tc>
          <w:tcPr>
            <w:tcW w:w="2952" w:type="dxa"/>
          </w:tcPr>
          <w:p w14:paraId="1A15FEBA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Analysis</w:t>
            </w:r>
          </w:p>
        </w:tc>
        <w:tc>
          <w:tcPr>
            <w:tcW w:w="2952" w:type="dxa"/>
          </w:tcPr>
          <w:p w14:paraId="58D9D8BF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2-5</w:t>
            </w:r>
          </w:p>
        </w:tc>
        <w:tc>
          <w:tcPr>
            <w:tcW w:w="2952" w:type="dxa"/>
          </w:tcPr>
          <w:p w14:paraId="385CF38D" w14:textId="77777777" w:rsidR="00ED2A3C" w:rsidRPr="00ED2A3C" w:rsidRDefault="00ED2A3C" w:rsidP="00ED2A3C">
            <w:pPr>
              <w:rPr>
                <w:rFonts w:ascii="Garamond" w:hAnsi="Garamond"/>
                <w:b/>
              </w:rPr>
            </w:pPr>
            <w:r w:rsidRPr="00ED2A3C">
              <w:rPr>
                <w:rFonts w:ascii="Garamond" w:hAnsi="Garamond"/>
                <w:b/>
              </w:rPr>
              <w:t>Take it further; how does this impact society; why do we care? So, what?</w:t>
            </w:r>
          </w:p>
        </w:tc>
      </w:tr>
    </w:tbl>
    <w:p w14:paraId="2BB29806" w14:textId="77777777" w:rsidR="00ED2A3C" w:rsidRPr="006409BB" w:rsidRDefault="00ED2A3C" w:rsidP="00ED2A3C">
      <w:pPr>
        <w:rPr>
          <w:rFonts w:ascii="Garamond" w:hAnsi="Garamond"/>
          <w:b/>
          <w:sz w:val="32"/>
          <w:szCs w:val="32"/>
        </w:rPr>
      </w:pPr>
    </w:p>
    <w:p w14:paraId="3A6CAFCA" w14:textId="732E7556" w:rsidR="00ED2A3C" w:rsidRDefault="00ED2A3C" w:rsidP="00F660F0">
      <w:r>
        <w:t>4.  Write it.</w:t>
      </w:r>
    </w:p>
    <w:p w14:paraId="55E95353" w14:textId="77777777" w:rsidR="00ED2A3C" w:rsidRDefault="00ED2A3C" w:rsidP="00F660F0"/>
    <w:p w14:paraId="4926EB92" w14:textId="45F9E49E" w:rsidR="00ED2A3C" w:rsidRDefault="00D46614" w:rsidP="00D46614">
      <w:pPr>
        <w:ind w:firstLine="360"/>
      </w:pPr>
      <w:r>
        <w:t xml:space="preserve">In the play </w:t>
      </w:r>
      <w:r>
        <w:rPr>
          <w:i/>
        </w:rPr>
        <w:t>The Tragedy of Macbeth</w:t>
      </w:r>
      <w:r>
        <w:t xml:space="preserve">, healthy relationships between fathers and </w:t>
      </w:r>
      <w:r w:rsidR="00ED2A3C">
        <w:t>sons contrast with the infertility</w:t>
      </w:r>
      <w:r>
        <w:t xml:space="preserve"> of the main character, </w:t>
      </w:r>
      <w:r w:rsidR="00ED2A3C">
        <w:t>Macbeth.  After murder</w:t>
      </w:r>
      <w:r w:rsidR="00574B63">
        <w:t>ing Duncan, Shakespeare uses</w:t>
      </w:r>
      <w:r w:rsidR="00ED2A3C">
        <w:t xml:space="preserve"> imagery of impotence</w:t>
      </w:r>
      <w:r>
        <w:t xml:space="preserve"> </w:t>
      </w:r>
      <w:r w:rsidR="00ED2A3C">
        <w:t xml:space="preserve">to show </w:t>
      </w:r>
      <w:r>
        <w:t>Macbeth’s</w:t>
      </w:r>
      <w:r w:rsidR="00ED2A3C">
        <w:t xml:space="preserve"> realization th</w:t>
      </w:r>
      <w:r w:rsidR="00322C56">
        <w:t>at his “genius has been rebuked</w:t>
      </w:r>
      <w:r>
        <w:t>”</w:t>
      </w:r>
      <w:r w:rsidR="00322C56">
        <w:t xml:space="preserve"> (3.1.55).</w:t>
      </w:r>
      <w:r>
        <w:t xml:space="preserve"> </w:t>
      </w:r>
      <w:r w:rsidR="00ED2A3C">
        <w:t xml:space="preserve">“Genius” in this instance refers to the ability to produce, coming from the root “gen” meaning to produce, to create, to give birth to.  His potency has been cut off by a higher authority, </w:t>
      </w:r>
      <w:proofErr w:type="spellStart"/>
      <w:r w:rsidR="00ED2A3C">
        <w:t>Banquo’s</w:t>
      </w:r>
      <w:proofErr w:type="spellEnd"/>
      <w:r w:rsidR="00ED2A3C">
        <w:t xml:space="preserve"> seed, </w:t>
      </w:r>
      <w:proofErr w:type="gramStart"/>
      <w:r w:rsidR="00ED2A3C">
        <w:t>the</w:t>
      </w:r>
      <w:proofErr w:type="gramEnd"/>
      <w:r w:rsidR="00ED2A3C">
        <w:t xml:space="preserve"> fulfillment of the witches’ prophecy.  Too late he becomes fully conscious</w:t>
      </w:r>
      <w:r>
        <w:t xml:space="preserve"> that he has traded his soul, his “etern</w:t>
      </w:r>
      <w:r w:rsidR="00322C56">
        <w:t>al jewel” for a “barren scepter . . . no son of mine succeeding.”</w:t>
      </w:r>
      <w:r>
        <w:t xml:space="preserve">   </w:t>
      </w:r>
      <w:r w:rsidR="00574B63">
        <w:t>He wears a “fruitless crown,” a frustration that leads him toward hi</w:t>
      </w:r>
      <w:r w:rsidR="0045782A">
        <w:t>s next victims and foreshadows</w:t>
      </w:r>
      <w:r w:rsidR="00574B63">
        <w:t xml:space="preserve"> the withering of both the Scottish countryside and the vigor of its society</w:t>
      </w:r>
      <w:r w:rsidR="00322C56">
        <w:t xml:space="preserve"> (3.1.60-64)</w:t>
      </w:r>
      <w:r w:rsidR="00574B63">
        <w:t>.</w:t>
      </w:r>
      <w:r>
        <w:t xml:space="preserve"> </w:t>
      </w:r>
    </w:p>
    <w:p w14:paraId="5803FA5B" w14:textId="2A8B2605" w:rsidR="00F660F0" w:rsidRPr="00D46614" w:rsidRDefault="0045782A" w:rsidP="00D46614">
      <w:pPr>
        <w:ind w:firstLine="360"/>
      </w:pPr>
      <w:r>
        <w:t>As Macbeth imagines the</w:t>
      </w:r>
      <w:r w:rsidR="00574B63">
        <w:t xml:space="preserve"> sons</w:t>
      </w:r>
      <w:r>
        <w:t xml:space="preserve"> of his closest allies</w:t>
      </w:r>
      <w:r w:rsidR="00574B63">
        <w:t xml:space="preserve"> as a threat</w:t>
      </w:r>
      <w:r>
        <w:t>, his murderous pace keeps tempo with his increasingly paranoid visions</w:t>
      </w:r>
      <w:r w:rsidR="00574B63">
        <w:t xml:space="preserve">.  </w:t>
      </w:r>
      <w:r w:rsidR="00F37BFF">
        <w:t>Macbeth mutters to himself after Duncan names Malcolm heir to the throne that the Prince of Cumberland</w:t>
      </w:r>
      <w:r w:rsidR="00574B63">
        <w:t xml:space="preserve"> is “a step on which he must fall down or </w:t>
      </w:r>
      <w:r w:rsidR="0035512F">
        <w:t xml:space="preserve">else </w:t>
      </w:r>
      <w:proofErr w:type="spellStart"/>
      <w:r w:rsidR="00574B63">
        <w:t>o’erleap</w:t>
      </w:r>
      <w:proofErr w:type="spellEnd"/>
      <w:r w:rsidR="00574B63">
        <w:t>, for in [his] way it lies”</w:t>
      </w:r>
      <w:r w:rsidR="00C46E48">
        <w:t xml:space="preserve"> (1.4.49-50).</w:t>
      </w:r>
      <w:r w:rsidR="00574B63">
        <w:t xml:space="preserve"> </w:t>
      </w:r>
      <w:r>
        <w:t xml:space="preserve">Although </w:t>
      </w:r>
      <w:proofErr w:type="spellStart"/>
      <w:r>
        <w:t>Fleance</w:t>
      </w:r>
      <w:proofErr w:type="spellEnd"/>
      <w:r>
        <w:t xml:space="preserve"> is young</w:t>
      </w:r>
      <w:r w:rsidR="0035512F">
        <w:t>er than Malcolm</w:t>
      </w:r>
      <w:r>
        <w:t>, Macbeth sees him</w:t>
      </w:r>
      <w:r w:rsidR="00F37BFF">
        <w:t xml:space="preserve"> as a rival of</w:t>
      </w:r>
      <w:r>
        <w:t xml:space="preserve"> great</w:t>
      </w:r>
      <w:r w:rsidR="00F37BFF">
        <w:t xml:space="preserve"> magnitude because he could satisfy the witches</w:t>
      </w:r>
      <w:r w:rsidR="0035512F">
        <w:t>’</w:t>
      </w:r>
      <w:r w:rsidR="00F37BFF">
        <w:t xml:space="preserve"> prophecy that </w:t>
      </w:r>
      <w:proofErr w:type="spellStart"/>
      <w:r w:rsidR="00F37BFF">
        <w:t>Banquo</w:t>
      </w:r>
      <w:proofErr w:type="spellEnd"/>
      <w:r w:rsidR="00F37BFF">
        <w:t xml:space="preserve"> will beget kings, thou he will not be one himself. </w:t>
      </w:r>
      <w:r w:rsidR="00ED2A3C">
        <w:t xml:space="preserve"> </w:t>
      </w:r>
      <w:r w:rsidR="00F37BFF">
        <w:t>Therefore</w:t>
      </w:r>
      <w:r w:rsidR="0035512F">
        <w:t>,</w:t>
      </w:r>
      <w:r w:rsidR="00F37BFF">
        <w:t xml:space="preserve"> he hires murderers willing to kill both father and son, unsuccessful</w:t>
      </w:r>
      <w:r>
        <w:t xml:space="preserve"> though they turn out to be</w:t>
      </w:r>
      <w:r w:rsidR="00F37BFF">
        <w:t xml:space="preserve">. </w:t>
      </w:r>
      <w:r w:rsidR="0035512F">
        <w:t xml:space="preserve"> Once Macbeth realizes that he will father no children, his brutal pace</w:t>
      </w:r>
      <w:r w:rsidR="00F37BFF">
        <w:t xml:space="preserve"> esca</w:t>
      </w:r>
      <w:r w:rsidR="0035512F">
        <w:t>lates from murdering a friend, to a child, to an entire household.</w:t>
      </w:r>
      <w:r w:rsidR="00F37BFF">
        <w:t xml:space="preserve"> </w:t>
      </w:r>
      <w:r>
        <w:t xml:space="preserve"> Duncan’s generosity in naming his son heir, Banquo’s self-sacrificial warning to his son, and </w:t>
      </w:r>
      <w:proofErr w:type="spellStart"/>
      <w:r>
        <w:t>Macduff’s</w:t>
      </w:r>
      <w:proofErr w:type="spellEnd"/>
      <w:r>
        <w:t xml:space="preserve"> tender expression of grief afte</w:t>
      </w:r>
      <w:r w:rsidR="0035512F">
        <w:t>r losing his family highlight</w:t>
      </w:r>
      <w:r>
        <w:t xml:space="preserve"> Macbeth’s debased motives.</w:t>
      </w:r>
      <w:r w:rsidR="0035512F">
        <w:t xml:space="preserve">  Even Macbeth realizes how far he has fallen as he faces the vengeful father, </w:t>
      </w:r>
      <w:proofErr w:type="spellStart"/>
      <w:r w:rsidR="0035512F">
        <w:t>Macduff</w:t>
      </w:r>
      <w:proofErr w:type="spellEnd"/>
      <w:r w:rsidR="0035512F">
        <w:t>.  “My sword is too much char</w:t>
      </w:r>
      <w:r w:rsidR="00C46E48">
        <w:t xml:space="preserve">ged with blood of </w:t>
      </w:r>
      <w:proofErr w:type="spellStart"/>
      <w:r w:rsidR="00C46E48">
        <w:t>thine</w:t>
      </w:r>
      <w:proofErr w:type="spellEnd"/>
      <w:r w:rsidR="00C46E48">
        <w:t xml:space="preserve"> already</w:t>
      </w:r>
      <w:r w:rsidR="0035512F">
        <w:t>”</w:t>
      </w:r>
      <w:r w:rsidR="00C46E48">
        <w:t xml:space="preserve"> (5.7.5-6).</w:t>
      </w:r>
      <w:r w:rsidR="0035512F">
        <w:t xml:space="preserve">  </w:t>
      </w:r>
      <w:r w:rsidR="00B501D3">
        <w:rPr>
          <w:i/>
        </w:rPr>
        <w:t xml:space="preserve"> </w:t>
      </w:r>
      <w:proofErr w:type="gramStart"/>
      <w:r w:rsidR="00B501D3">
        <w:rPr>
          <w:i/>
        </w:rPr>
        <w:t>I</w:t>
      </w:r>
      <w:proofErr w:type="gramEnd"/>
      <w:r w:rsidR="00B501D3">
        <w:rPr>
          <w:i/>
        </w:rPr>
        <w:t xml:space="preserve"> carry the guilt of taking your family; turn away from me</w:t>
      </w:r>
      <w:r w:rsidR="00B501D3">
        <w:t xml:space="preserve">, Macbeth is saying, unaware that </w:t>
      </w:r>
      <w:proofErr w:type="spellStart"/>
      <w:r w:rsidR="00B501D3">
        <w:t>Macduff’s</w:t>
      </w:r>
      <w:proofErr w:type="spellEnd"/>
      <w:r w:rsidR="00B501D3">
        <w:t xml:space="preserve"> sword will dispense justice for each family and an entir</w:t>
      </w:r>
      <w:bookmarkStart w:id="0" w:name="_GoBack"/>
      <w:bookmarkEnd w:id="0"/>
      <w:r w:rsidR="00B501D3">
        <w:t>e nation.</w:t>
      </w:r>
      <w:r w:rsidR="0035512F">
        <w:t xml:space="preserve"> </w:t>
      </w:r>
    </w:p>
    <w:sectPr w:rsidR="00F660F0" w:rsidRPr="00D46614" w:rsidSect="005F4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C7B"/>
    <w:multiLevelType w:val="hybridMultilevel"/>
    <w:tmpl w:val="BFC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A4DF0"/>
    <w:multiLevelType w:val="hybridMultilevel"/>
    <w:tmpl w:val="02F8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79"/>
    <w:multiLevelType w:val="hybridMultilevel"/>
    <w:tmpl w:val="633A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374F"/>
    <w:multiLevelType w:val="hybridMultilevel"/>
    <w:tmpl w:val="451C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84E7F"/>
    <w:multiLevelType w:val="hybridMultilevel"/>
    <w:tmpl w:val="EBBE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D340A"/>
    <w:multiLevelType w:val="hybridMultilevel"/>
    <w:tmpl w:val="3C82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46943"/>
    <w:multiLevelType w:val="hybridMultilevel"/>
    <w:tmpl w:val="7A9C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7"/>
    <w:rsid w:val="00322C56"/>
    <w:rsid w:val="0035512F"/>
    <w:rsid w:val="004006F7"/>
    <w:rsid w:val="0045782A"/>
    <w:rsid w:val="00574B63"/>
    <w:rsid w:val="005F45C0"/>
    <w:rsid w:val="00B501D3"/>
    <w:rsid w:val="00BD28A1"/>
    <w:rsid w:val="00C46E48"/>
    <w:rsid w:val="00C74DD6"/>
    <w:rsid w:val="00C848D8"/>
    <w:rsid w:val="00D46614"/>
    <w:rsid w:val="00D738A7"/>
    <w:rsid w:val="00ED2A3C"/>
    <w:rsid w:val="00F34108"/>
    <w:rsid w:val="00F37BFF"/>
    <w:rsid w:val="00F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7E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F7"/>
    <w:pPr>
      <w:ind w:left="720"/>
      <w:contextualSpacing/>
    </w:pPr>
  </w:style>
  <w:style w:type="table" w:styleId="TableGrid">
    <w:name w:val="Table Grid"/>
    <w:basedOn w:val="TableNormal"/>
    <w:uiPriority w:val="59"/>
    <w:rsid w:val="00ED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F7"/>
    <w:pPr>
      <w:ind w:left="720"/>
      <w:contextualSpacing/>
    </w:pPr>
  </w:style>
  <w:style w:type="table" w:styleId="TableGrid">
    <w:name w:val="Table Grid"/>
    <w:basedOn w:val="TableNormal"/>
    <w:uiPriority w:val="59"/>
    <w:rsid w:val="00ED2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617</Words>
  <Characters>3521</Characters>
  <Application>Microsoft Macintosh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6</cp:revision>
  <dcterms:created xsi:type="dcterms:W3CDTF">2015-10-01T11:48:00Z</dcterms:created>
  <dcterms:modified xsi:type="dcterms:W3CDTF">2015-10-02T01:19:00Z</dcterms:modified>
</cp:coreProperties>
</file>