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BB" w:rsidRPr="006409BB" w:rsidRDefault="006409BB" w:rsidP="006409BB">
      <w:pPr>
        <w:rPr>
          <w:rFonts w:ascii="Garamond" w:hAnsi="Garamond"/>
          <w:i/>
          <w:sz w:val="32"/>
          <w:szCs w:val="32"/>
        </w:rPr>
      </w:pPr>
      <w:bookmarkStart w:id="0" w:name="_GoBack"/>
      <w:bookmarkEnd w:id="0"/>
      <w:r w:rsidRPr="006409BB">
        <w:rPr>
          <w:rFonts w:ascii="Garamond" w:hAnsi="Garamond"/>
          <w:i/>
          <w:sz w:val="32"/>
          <w:szCs w:val="32"/>
        </w:rPr>
        <w:t>“Writing, or at least good writing, is an outgrowth of that urge to use language to communicate complex ideas and experiences between people.  And that’s true whether you’re reading Shakespeare or bad vampire fiction.  Reading is always an act of empathy.  It’s always an imagining of what it’s like to be someone else.  So I’m going to ask you to read critically, to look closely at a text and pay attention to the subtle ways the author is trying to communicate the full complexity of human experience.”</w:t>
      </w:r>
      <w:r>
        <w:rPr>
          <w:rFonts w:ascii="Garamond" w:hAnsi="Garamond"/>
          <w:i/>
          <w:sz w:val="32"/>
          <w:szCs w:val="32"/>
        </w:rPr>
        <w:tab/>
      </w:r>
      <w:r>
        <w:rPr>
          <w:rFonts w:ascii="Garamond" w:hAnsi="Garamond"/>
          <w:i/>
          <w:sz w:val="32"/>
          <w:szCs w:val="32"/>
        </w:rPr>
        <w:tab/>
      </w:r>
      <w:r>
        <w:rPr>
          <w:rFonts w:ascii="Garamond" w:hAnsi="Garamond"/>
          <w:i/>
          <w:sz w:val="32"/>
          <w:szCs w:val="32"/>
        </w:rPr>
        <w:tab/>
      </w:r>
      <w:r>
        <w:rPr>
          <w:rFonts w:ascii="Garamond" w:hAnsi="Garamond"/>
          <w:i/>
          <w:sz w:val="32"/>
          <w:szCs w:val="32"/>
        </w:rPr>
        <w:tab/>
      </w:r>
      <w:r>
        <w:rPr>
          <w:rFonts w:ascii="Garamond" w:hAnsi="Garamond"/>
          <w:i/>
          <w:sz w:val="32"/>
          <w:szCs w:val="32"/>
        </w:rPr>
        <w:tab/>
      </w:r>
      <w:r>
        <w:rPr>
          <w:rFonts w:ascii="Garamond" w:hAnsi="Garamond"/>
          <w:i/>
          <w:sz w:val="32"/>
          <w:szCs w:val="32"/>
        </w:rPr>
        <w:tab/>
      </w:r>
      <w:r w:rsidRPr="006409BB">
        <w:rPr>
          <w:rFonts w:ascii="Garamond" w:hAnsi="Garamond"/>
          <w:i/>
          <w:sz w:val="32"/>
          <w:szCs w:val="32"/>
        </w:rPr>
        <w:t xml:space="preserve"> </w:t>
      </w:r>
      <w:r w:rsidRPr="006409BB">
        <w:rPr>
          <w:rFonts w:ascii="Garamond" w:hAnsi="Garamond"/>
          <w:i/>
          <w:sz w:val="32"/>
          <w:szCs w:val="32"/>
        </w:rPr>
        <w:tab/>
        <w:t xml:space="preserve">–John Green  </w:t>
      </w:r>
    </w:p>
    <w:p w:rsidR="006409BB" w:rsidRDefault="006409BB" w:rsidP="006409BB">
      <w:pPr>
        <w:rPr>
          <w:rFonts w:ascii="Garamond" w:hAnsi="Garamond"/>
          <w:i/>
          <w:sz w:val="32"/>
          <w:szCs w:val="32"/>
        </w:rPr>
      </w:pPr>
    </w:p>
    <w:p w:rsidR="006409BB" w:rsidRPr="006409BB" w:rsidRDefault="006409BB" w:rsidP="006409BB">
      <w:pPr>
        <w:rPr>
          <w:rFonts w:ascii="Garamond" w:hAnsi="Garamond"/>
          <w:i/>
          <w:sz w:val="32"/>
          <w:szCs w:val="32"/>
        </w:rPr>
      </w:pPr>
    </w:p>
    <w:p w:rsidR="00A04D1B" w:rsidRPr="006409BB" w:rsidRDefault="00912CCA" w:rsidP="006409BB">
      <w:pPr>
        <w:jc w:val="center"/>
        <w:rPr>
          <w:rFonts w:ascii="Garamond" w:hAnsi="Garamond"/>
          <w:b/>
          <w:sz w:val="32"/>
          <w:szCs w:val="32"/>
        </w:rPr>
      </w:pPr>
      <w:r w:rsidRPr="006409BB">
        <w:rPr>
          <w:rFonts w:ascii="Garamond" w:hAnsi="Garamond"/>
          <w:b/>
          <w:sz w:val="32"/>
          <w:szCs w:val="32"/>
        </w:rPr>
        <w:t>TPEQEA</w:t>
      </w:r>
    </w:p>
    <w:p w:rsidR="00912CCA" w:rsidRPr="006409BB" w:rsidRDefault="00912CCA">
      <w:pPr>
        <w:rPr>
          <w:rFonts w:ascii="Garamond" w:hAnsi="Garamond"/>
          <w:b/>
          <w:sz w:val="32"/>
          <w:szCs w:val="32"/>
        </w:rPr>
      </w:pPr>
    </w:p>
    <w:p w:rsidR="00912CCA" w:rsidRPr="006409BB" w:rsidRDefault="00912CCA">
      <w:pPr>
        <w:rPr>
          <w:rFonts w:ascii="Garamond" w:hAnsi="Garamond"/>
          <w:sz w:val="32"/>
          <w:szCs w:val="32"/>
        </w:rPr>
      </w:pPr>
      <w:r w:rsidRPr="006409BB">
        <w:rPr>
          <w:rFonts w:ascii="Garamond" w:hAnsi="Garamond"/>
          <w:b/>
          <w:sz w:val="32"/>
          <w:szCs w:val="32"/>
        </w:rPr>
        <w:t xml:space="preserve">TPEQEA </w:t>
      </w:r>
      <w:r w:rsidRPr="006409BB">
        <w:rPr>
          <w:rFonts w:ascii="Garamond" w:hAnsi="Garamond"/>
          <w:sz w:val="32"/>
          <w:szCs w:val="32"/>
        </w:rPr>
        <w:t>is a writing strategy that will help you to write clear and concise paragraphs.  By using TPEQEA when you write you will be better prepared to answer constructed response questions.</w:t>
      </w:r>
    </w:p>
    <w:p w:rsidR="00912CCA" w:rsidRPr="006409BB" w:rsidRDefault="00912CCA">
      <w:pPr>
        <w:rPr>
          <w:rFonts w:ascii="Garamond" w:hAnsi="Garamond"/>
          <w:sz w:val="32"/>
          <w:szCs w:val="32"/>
        </w:rPr>
      </w:pPr>
    </w:p>
    <w:p w:rsidR="00912CCA" w:rsidRPr="006409BB" w:rsidRDefault="00912CCA" w:rsidP="00912CCA">
      <w:pPr>
        <w:jc w:val="center"/>
        <w:rPr>
          <w:rFonts w:ascii="Garamond" w:hAnsi="Garamond"/>
          <w:b/>
          <w:sz w:val="32"/>
          <w:szCs w:val="32"/>
        </w:rPr>
      </w:pPr>
      <w:r w:rsidRPr="006409BB">
        <w:rPr>
          <w:rFonts w:ascii="Garamond" w:hAnsi="Garamond"/>
          <w:b/>
          <w:sz w:val="32"/>
          <w:szCs w:val="32"/>
        </w:rPr>
        <w:t>Writing Format</w:t>
      </w:r>
    </w:p>
    <w:p w:rsidR="00912CCA" w:rsidRPr="006409BB" w:rsidRDefault="00912CCA" w:rsidP="00912CCA">
      <w:pPr>
        <w:jc w:val="center"/>
        <w:rPr>
          <w:rFonts w:ascii="Garamond" w:hAnsi="Garamond"/>
          <w:b/>
          <w:sz w:val="32"/>
          <w:szCs w:val="32"/>
        </w:rPr>
      </w:pPr>
    </w:p>
    <w:tbl>
      <w:tblPr>
        <w:tblStyle w:val="TableGrid"/>
        <w:tblW w:w="0" w:type="auto"/>
        <w:tblLook w:val="04A0" w:firstRow="1" w:lastRow="0" w:firstColumn="1" w:lastColumn="0" w:noHBand="0" w:noVBand="1"/>
      </w:tblPr>
      <w:tblGrid>
        <w:gridCol w:w="2843"/>
        <w:gridCol w:w="2819"/>
        <w:gridCol w:w="3194"/>
      </w:tblGrid>
      <w:tr w:rsidR="00912CCA" w:rsidRPr="006409BB" w:rsidTr="00912CCA">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Name</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 xml:space="preserve"># </w:t>
            </w:r>
            <w:proofErr w:type="gramStart"/>
            <w:r w:rsidRPr="006409BB">
              <w:rPr>
                <w:rFonts w:ascii="Garamond" w:hAnsi="Garamond"/>
                <w:b/>
                <w:sz w:val="32"/>
                <w:szCs w:val="32"/>
              </w:rPr>
              <w:t>of</w:t>
            </w:r>
            <w:proofErr w:type="gramEnd"/>
            <w:r w:rsidRPr="006409BB">
              <w:rPr>
                <w:rFonts w:ascii="Garamond" w:hAnsi="Garamond"/>
                <w:b/>
                <w:sz w:val="32"/>
                <w:szCs w:val="32"/>
              </w:rPr>
              <w:t xml:space="preserve"> Sentences</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Function</w:t>
            </w:r>
          </w:p>
        </w:tc>
      </w:tr>
      <w:tr w:rsidR="00912CCA" w:rsidRPr="006409BB" w:rsidTr="00912CCA">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Topic Sentence</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1</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General, broad introductory sentence</w:t>
            </w:r>
          </w:p>
        </w:tc>
      </w:tr>
      <w:tr w:rsidR="00912CCA" w:rsidRPr="006409BB" w:rsidTr="00912CCA">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Point</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1</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Specific, focused sentence</w:t>
            </w:r>
          </w:p>
        </w:tc>
      </w:tr>
      <w:tr w:rsidR="00912CCA" w:rsidRPr="006409BB" w:rsidTr="00912CCA">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Example</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1-3</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An example that illustrates the point</w:t>
            </w:r>
          </w:p>
        </w:tc>
      </w:tr>
      <w:tr w:rsidR="00912CCA" w:rsidRPr="006409BB" w:rsidTr="00912CCA">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Quote(s)</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1-3</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Direct quote(s) from the text which support(s) your point</w:t>
            </w:r>
          </w:p>
        </w:tc>
      </w:tr>
      <w:tr w:rsidR="00912CCA" w:rsidRPr="006409BB" w:rsidTr="00912CCA">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Elaboration</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3-5</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Explain the point/quote/example</w:t>
            </w:r>
          </w:p>
        </w:tc>
      </w:tr>
      <w:tr w:rsidR="00912CCA" w:rsidRPr="006409BB" w:rsidTr="00912CCA">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Analysis</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2-5</w:t>
            </w:r>
          </w:p>
        </w:tc>
        <w:tc>
          <w:tcPr>
            <w:tcW w:w="2952" w:type="dxa"/>
          </w:tcPr>
          <w:p w:rsidR="00912CCA" w:rsidRPr="006409BB" w:rsidRDefault="00912CCA" w:rsidP="00912CCA">
            <w:pPr>
              <w:rPr>
                <w:rFonts w:ascii="Garamond" w:hAnsi="Garamond"/>
                <w:b/>
                <w:sz w:val="32"/>
                <w:szCs w:val="32"/>
              </w:rPr>
            </w:pPr>
            <w:r w:rsidRPr="006409BB">
              <w:rPr>
                <w:rFonts w:ascii="Garamond" w:hAnsi="Garamond"/>
                <w:b/>
                <w:sz w:val="32"/>
                <w:szCs w:val="32"/>
              </w:rPr>
              <w:t>Take</w:t>
            </w:r>
            <w:r w:rsidR="006409BB" w:rsidRPr="006409BB">
              <w:rPr>
                <w:rFonts w:ascii="Garamond" w:hAnsi="Garamond"/>
                <w:b/>
                <w:sz w:val="32"/>
                <w:szCs w:val="32"/>
              </w:rPr>
              <w:t xml:space="preserve"> it further; how does this impact society; why do we care? So, what?</w:t>
            </w:r>
          </w:p>
        </w:tc>
      </w:tr>
    </w:tbl>
    <w:p w:rsidR="00912CCA" w:rsidRPr="006409BB" w:rsidRDefault="00912CCA" w:rsidP="00912CCA">
      <w:pPr>
        <w:rPr>
          <w:rFonts w:ascii="Garamond" w:hAnsi="Garamond"/>
          <w:b/>
          <w:sz w:val="32"/>
          <w:szCs w:val="32"/>
        </w:rPr>
      </w:pPr>
    </w:p>
    <w:sectPr w:rsidR="00912CCA" w:rsidRPr="006409BB" w:rsidSect="005F4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CA"/>
    <w:rsid w:val="005F45C0"/>
    <w:rsid w:val="006409BB"/>
    <w:rsid w:val="00912CCA"/>
    <w:rsid w:val="00A04D1B"/>
    <w:rsid w:val="00C5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Macintosh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2</cp:revision>
  <dcterms:created xsi:type="dcterms:W3CDTF">2015-09-30T11:18:00Z</dcterms:created>
  <dcterms:modified xsi:type="dcterms:W3CDTF">2015-09-30T11:18:00Z</dcterms:modified>
</cp:coreProperties>
</file>